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5A056" w14:textId="77777777" w:rsidR="00FB52B4" w:rsidRDefault="00000000">
      <w:pPr>
        <w:spacing w:beforeLines="50" w:before="156" w:afterLines="20" w:after="62" w:line="360" w:lineRule="auto"/>
        <w:jc w:val="center"/>
        <w:rPr>
          <w:rFonts w:eastAsia="楷体_GB2312"/>
          <w:color w:val="0000FF"/>
          <w:sz w:val="50"/>
        </w:rPr>
      </w:pPr>
      <w:r>
        <w:rPr>
          <w:rFonts w:eastAsia="楷体_GB2312" w:hint="eastAsia"/>
          <w:sz w:val="50"/>
        </w:rPr>
        <w:t>南京理工大学泰州科技学院</w:t>
      </w:r>
    </w:p>
    <w:p w14:paraId="72D4BB70" w14:textId="77777777" w:rsidR="00FB52B4" w:rsidRDefault="00000000">
      <w:pPr>
        <w:pStyle w:val="a3"/>
        <w:spacing w:line="360" w:lineRule="auto"/>
        <w:ind w:rightChars="-301" w:right="-632"/>
        <w:rPr>
          <w:rFonts w:ascii="隶书" w:eastAsia="隶书"/>
          <w:sz w:val="66"/>
        </w:rPr>
      </w:pPr>
      <w:r>
        <w:rPr>
          <w:rFonts w:ascii="隶书" w:eastAsia="隶书" w:hint="eastAsia"/>
          <w:sz w:val="66"/>
        </w:rPr>
        <w:t>毕业设计</w:t>
      </w:r>
      <w:r>
        <w:rPr>
          <w:rFonts w:ascii="隶书" w:eastAsia="隶书"/>
          <w:sz w:val="66"/>
        </w:rPr>
        <w:t>（</w:t>
      </w:r>
      <w:r>
        <w:rPr>
          <w:rFonts w:ascii="隶书" w:eastAsia="隶书" w:hint="eastAsia"/>
          <w:sz w:val="66"/>
        </w:rPr>
        <w:t>论文</w:t>
      </w:r>
      <w:r>
        <w:rPr>
          <w:rFonts w:ascii="隶书" w:eastAsia="隶书"/>
          <w:sz w:val="66"/>
        </w:rPr>
        <w:t>）</w:t>
      </w:r>
      <w:r>
        <w:rPr>
          <w:rFonts w:ascii="隶书" w:eastAsia="隶书" w:hint="eastAsia"/>
          <w:sz w:val="66"/>
        </w:rPr>
        <w:t>外文资料翻译</w:t>
      </w:r>
    </w:p>
    <w:p w14:paraId="66279A5E" w14:textId="77777777" w:rsidR="00FB52B4" w:rsidRDefault="00FB52B4">
      <w:pPr>
        <w:spacing w:line="600" w:lineRule="exact"/>
        <w:jc w:val="center"/>
        <w:rPr>
          <w:sz w:val="32"/>
        </w:rPr>
      </w:pPr>
    </w:p>
    <w:p w14:paraId="1859EA88" w14:textId="77777777" w:rsidR="00FB52B4" w:rsidRDefault="00FB52B4">
      <w:pPr>
        <w:spacing w:line="600" w:lineRule="exact"/>
        <w:ind w:firstLineChars="385" w:firstLine="1232"/>
        <w:rPr>
          <w:sz w:val="32"/>
        </w:rPr>
      </w:pPr>
    </w:p>
    <w:p w14:paraId="4C8729D7" w14:textId="77777777" w:rsidR="00FB52B4" w:rsidRDefault="00000000">
      <w:pPr>
        <w:tabs>
          <w:tab w:val="left" w:pos="8085"/>
        </w:tabs>
        <w:overflowPunct w:val="0"/>
        <w:snapToGrid w:val="0"/>
        <w:spacing w:line="700" w:lineRule="exact"/>
        <w:ind w:rightChars="353" w:right="741" w:firstLineChars="385" w:firstLine="1237"/>
        <w:rPr>
          <w:sz w:val="30"/>
          <w:u w:val="single"/>
        </w:rPr>
      </w:pPr>
      <w:r>
        <w:rPr>
          <w:rFonts w:hint="eastAsia"/>
          <w:b/>
          <w:bCs/>
          <w:sz w:val="32"/>
        </w:rPr>
        <w:t>学院</w:t>
      </w:r>
      <w:r>
        <w:rPr>
          <w:rFonts w:hint="eastAsia"/>
          <w:b/>
          <w:bCs/>
          <w:sz w:val="32"/>
        </w:rPr>
        <w:t xml:space="preserve"> </w:t>
      </w:r>
      <w:r>
        <w:rPr>
          <w:rFonts w:hint="eastAsia"/>
          <w:b/>
          <w:bCs/>
          <w:sz w:val="32"/>
        </w:rPr>
        <w:t>（系）：</w:t>
      </w:r>
      <w:r>
        <w:rPr>
          <w:rFonts w:eastAsia="楷体_GB2312" w:hint="eastAsia"/>
          <w:b/>
          <w:bCs/>
          <w:sz w:val="32"/>
          <w:u w:val="single"/>
        </w:rPr>
        <w:t xml:space="preserve">  </w:t>
      </w:r>
      <w:r>
        <w:rPr>
          <w:rFonts w:ascii="楷体_GB2312" w:eastAsia="楷体_GB2312" w:hint="eastAsia"/>
          <w:b/>
          <w:bCs/>
          <w:sz w:val="32"/>
          <w:u w:val="single"/>
        </w:rPr>
        <w:t xml:space="preserve"> </w:t>
      </w:r>
      <w:r>
        <w:rPr>
          <w:rFonts w:ascii="楷体_GB2312" w:eastAsia="楷体_GB2312"/>
          <w:b/>
          <w:bCs/>
          <w:sz w:val="32"/>
          <w:u w:val="single"/>
        </w:rPr>
        <w:t xml:space="preserve"> </w:t>
      </w:r>
      <w:r w:rsidRPr="00911237">
        <w:rPr>
          <w:rFonts w:ascii="楷体" w:eastAsia="楷体" w:hAnsi="楷体" w:hint="eastAsia"/>
          <w:color w:val="000000"/>
          <w:sz w:val="32"/>
          <w:u w:val="single"/>
        </w:rPr>
        <w:t>环境与制药工程学院</w:t>
      </w:r>
      <w:r>
        <w:rPr>
          <w:rFonts w:eastAsia="楷体_GB2312" w:hint="eastAsia"/>
          <w:sz w:val="32"/>
          <w:u w:val="single"/>
        </w:rPr>
        <w:t xml:space="preserve">          </w:t>
      </w:r>
      <w:r>
        <w:rPr>
          <w:rFonts w:eastAsia="楷体_GB2312"/>
          <w:sz w:val="32"/>
          <w:u w:val="single"/>
        </w:rPr>
        <w:t xml:space="preserve"> </w:t>
      </w:r>
      <w:r>
        <w:rPr>
          <w:rFonts w:eastAsia="楷体_GB2312" w:hint="eastAsia"/>
          <w:sz w:val="32"/>
          <w:u w:val="single"/>
        </w:rPr>
        <w:t xml:space="preserve"> </w:t>
      </w:r>
    </w:p>
    <w:p w14:paraId="785CED0D" w14:textId="77777777" w:rsidR="00FB52B4" w:rsidRDefault="00000000">
      <w:pPr>
        <w:tabs>
          <w:tab w:val="left" w:pos="8085"/>
        </w:tabs>
        <w:overflowPunct w:val="0"/>
        <w:snapToGrid w:val="0"/>
        <w:spacing w:line="700" w:lineRule="exact"/>
        <w:ind w:rightChars="353" w:right="741" w:firstLineChars="385" w:firstLine="1237"/>
        <w:rPr>
          <w:rFonts w:ascii="楷体_GB2312" w:eastAsia="楷体_GB2312"/>
          <w:sz w:val="32"/>
          <w:u w:val="single"/>
        </w:rPr>
      </w:pPr>
      <w:r>
        <w:rPr>
          <w:rFonts w:hint="eastAsia"/>
          <w:b/>
          <w:bCs/>
          <w:sz w:val="32"/>
        </w:rPr>
        <w:t>专</w:t>
      </w:r>
      <w:r>
        <w:rPr>
          <w:rFonts w:hint="eastAsia"/>
          <w:b/>
          <w:bCs/>
          <w:sz w:val="32"/>
        </w:rPr>
        <w:t xml:space="preserve">    </w:t>
      </w:r>
      <w:r>
        <w:rPr>
          <w:rFonts w:hint="eastAsia"/>
          <w:b/>
          <w:bCs/>
          <w:sz w:val="32"/>
        </w:rPr>
        <w:t>业：</w:t>
      </w:r>
      <w:r>
        <w:rPr>
          <w:rFonts w:ascii="楷体_GB2312" w:eastAsia="楷体_GB2312" w:hint="eastAsia"/>
          <w:sz w:val="32"/>
          <w:u w:val="single"/>
        </w:rPr>
        <w:t xml:space="preserve">         </w:t>
      </w:r>
      <w:r w:rsidRPr="00911237">
        <w:rPr>
          <w:rFonts w:ascii="楷体" w:eastAsia="楷体" w:hAnsi="楷体" w:hint="eastAsia"/>
          <w:color w:val="000000"/>
          <w:sz w:val="32"/>
          <w:u w:val="single"/>
        </w:rPr>
        <w:t xml:space="preserve"> 环境工程</w:t>
      </w:r>
      <w:r>
        <w:rPr>
          <w:rFonts w:ascii="楷体_GB2312" w:eastAsia="楷体_GB2312" w:hint="eastAsia"/>
          <w:sz w:val="32"/>
          <w:u w:val="single"/>
        </w:rPr>
        <w:t xml:space="preserve">                   </w:t>
      </w:r>
    </w:p>
    <w:p w14:paraId="1FFF04A9" w14:textId="77777777" w:rsidR="00FB52B4" w:rsidRDefault="00000000">
      <w:pPr>
        <w:tabs>
          <w:tab w:val="left" w:pos="8085"/>
        </w:tabs>
        <w:overflowPunct w:val="0"/>
        <w:snapToGrid w:val="0"/>
        <w:spacing w:line="700" w:lineRule="exact"/>
        <w:ind w:rightChars="353" w:right="741" w:firstLineChars="400" w:firstLine="1285"/>
        <w:rPr>
          <w:sz w:val="30"/>
        </w:rPr>
      </w:pPr>
      <w:r>
        <w:rPr>
          <w:rFonts w:hint="eastAsia"/>
          <w:b/>
          <w:bCs/>
          <w:sz w:val="32"/>
        </w:rPr>
        <w:t>姓</w:t>
      </w:r>
      <w:r>
        <w:rPr>
          <w:rFonts w:hint="eastAsia"/>
          <w:b/>
          <w:bCs/>
          <w:sz w:val="32"/>
        </w:rPr>
        <w:t xml:space="preserve">    </w:t>
      </w:r>
      <w:r>
        <w:rPr>
          <w:rFonts w:hint="eastAsia"/>
          <w:b/>
          <w:bCs/>
          <w:sz w:val="32"/>
        </w:rPr>
        <w:t>名：</w:t>
      </w:r>
      <w:r>
        <w:rPr>
          <w:rFonts w:ascii="楷体_GB2312" w:eastAsia="楷体_GB2312" w:hint="eastAsia"/>
          <w:sz w:val="32"/>
          <w:u w:val="single"/>
        </w:rPr>
        <w:t xml:space="preserve">           </w:t>
      </w:r>
      <w:r w:rsidRPr="00911237">
        <w:rPr>
          <w:rFonts w:ascii="楷体" w:eastAsia="楷体" w:hAnsi="楷体" w:hint="eastAsia"/>
          <w:color w:val="000000"/>
          <w:sz w:val="32"/>
          <w:u w:val="single"/>
        </w:rPr>
        <w:t>陆禹豪</w:t>
      </w:r>
      <w:r>
        <w:rPr>
          <w:rFonts w:ascii="楷体_GB2312" w:eastAsia="楷体_GB2312" w:hint="eastAsia"/>
          <w:sz w:val="32"/>
          <w:u w:val="single"/>
        </w:rPr>
        <w:t xml:space="preserve">                    </w:t>
      </w:r>
    </w:p>
    <w:p w14:paraId="15628178" w14:textId="77777777" w:rsidR="00FB52B4" w:rsidRDefault="00000000">
      <w:pPr>
        <w:tabs>
          <w:tab w:val="left" w:pos="8085"/>
        </w:tabs>
        <w:overflowPunct w:val="0"/>
        <w:snapToGrid w:val="0"/>
        <w:spacing w:line="700" w:lineRule="exact"/>
        <w:ind w:rightChars="353" w:right="741" w:firstLineChars="400" w:firstLine="1285"/>
        <w:rPr>
          <w:b/>
          <w:bCs/>
          <w:sz w:val="30"/>
          <w:u w:val="single"/>
        </w:rPr>
      </w:pPr>
      <w:r>
        <w:rPr>
          <w:rFonts w:hint="eastAsia"/>
          <w:b/>
          <w:bCs/>
          <w:sz w:val="32"/>
        </w:rPr>
        <w:t>学</w:t>
      </w:r>
      <w:r>
        <w:rPr>
          <w:rFonts w:hint="eastAsia"/>
          <w:b/>
          <w:bCs/>
          <w:sz w:val="32"/>
        </w:rPr>
        <w:t xml:space="preserve"> </w:t>
      </w:r>
      <w:r>
        <w:rPr>
          <w:b/>
          <w:bCs/>
          <w:sz w:val="32"/>
        </w:rPr>
        <w:t xml:space="preserve"> </w:t>
      </w:r>
      <w:r>
        <w:rPr>
          <w:rFonts w:hint="eastAsia"/>
          <w:b/>
          <w:bCs/>
          <w:sz w:val="32"/>
        </w:rPr>
        <w:t xml:space="preserve">  </w:t>
      </w:r>
      <w:r>
        <w:rPr>
          <w:rFonts w:hint="eastAsia"/>
          <w:b/>
          <w:bCs/>
          <w:sz w:val="32"/>
        </w:rPr>
        <w:t>号：</w:t>
      </w:r>
      <w:r>
        <w:rPr>
          <w:rFonts w:ascii="楷体_GB2312" w:eastAsia="楷体_GB2312" w:hint="eastAsia"/>
          <w:sz w:val="32"/>
          <w:u w:val="single"/>
        </w:rPr>
        <w:t xml:space="preserve">        </w:t>
      </w:r>
      <w:r w:rsidRPr="00911237">
        <w:rPr>
          <w:rFonts w:ascii="楷体" w:eastAsia="楷体" w:hAnsi="楷体" w:hint="eastAsia"/>
          <w:color w:val="000000"/>
          <w:sz w:val="32"/>
          <w:u w:val="single"/>
        </w:rPr>
        <w:t xml:space="preserve"> 1703900139  </w:t>
      </w:r>
      <w:r>
        <w:rPr>
          <w:rFonts w:ascii="楷体_GB2312" w:eastAsia="楷体_GB2312" w:hint="eastAsia"/>
          <w:sz w:val="32"/>
          <w:u w:val="single"/>
        </w:rPr>
        <w:t xml:space="preserve">                </w:t>
      </w:r>
    </w:p>
    <w:p w14:paraId="7F0D834D" w14:textId="297E7A1F" w:rsidR="00FB52B4" w:rsidRDefault="00000000">
      <w:pPr>
        <w:tabs>
          <w:tab w:val="left" w:pos="8085"/>
        </w:tabs>
        <w:overflowPunct w:val="0"/>
        <w:snapToGrid w:val="0"/>
        <w:spacing w:line="700" w:lineRule="exact"/>
        <w:ind w:leftChars="640" w:left="2944" w:rightChars="353" w:right="741" w:hangingChars="800" w:hanging="1600"/>
        <w:rPr>
          <w:rFonts w:eastAsia="楷体_GB2312"/>
          <w:sz w:val="32"/>
          <w:u w:val="single"/>
        </w:rPr>
      </w:pPr>
      <w:r>
        <w:rPr>
          <w:rFonts w:eastAsia="楷体_GB2312"/>
          <w:noProof/>
          <w:sz w:val="20"/>
        </w:rPr>
        <mc:AlternateContent>
          <mc:Choice Requires="wps">
            <w:drawing>
              <wp:anchor distT="0" distB="0" distL="114300" distR="114300" simplePos="0" relativeHeight="251659264" behindDoc="0" locked="0" layoutInCell="1" allowOverlap="1" wp14:anchorId="538DD36A" wp14:editId="02F47808">
                <wp:simplePos x="0" y="0"/>
                <wp:positionH relativeFrom="column">
                  <wp:posOffset>733425</wp:posOffset>
                </wp:positionH>
                <wp:positionV relativeFrom="paragraph">
                  <wp:posOffset>336550</wp:posOffset>
                </wp:positionV>
                <wp:extent cx="1000125" cy="2971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00125" cy="297180"/>
                        </a:xfrm>
                        <a:prstGeom prst="rect">
                          <a:avLst/>
                        </a:prstGeom>
                        <a:noFill/>
                        <a:ln>
                          <a:noFill/>
                        </a:ln>
                      </wps:spPr>
                      <wps:txbx>
                        <w:txbxContent>
                          <w:p w14:paraId="6F32434D" w14:textId="77777777" w:rsidR="00FB52B4" w:rsidRDefault="00FB52B4">
                            <w:pPr>
                              <w:spacing w:line="240" w:lineRule="exact"/>
                              <w:rPr>
                                <w:rFonts w:ascii="宋体" w:hAnsi="宋体"/>
                                <w:sz w:val="24"/>
                              </w:rPr>
                            </w:pPr>
                          </w:p>
                        </w:txbxContent>
                      </wps:txbx>
                      <wps:bodyPr upright="1"/>
                    </wps:wsp>
                  </a:graphicData>
                </a:graphic>
              </wp:anchor>
            </w:drawing>
          </mc:Choice>
          <mc:Fallback>
            <w:pict>
              <v:shapetype w14:anchorId="538DD36A" id="_x0000_t202" coordsize="21600,21600" o:spt="202" path="m,l,21600r21600,l21600,xe">
                <v:stroke joinstyle="miter"/>
                <v:path gradientshapeok="t" o:connecttype="rect"/>
              </v:shapetype>
              <v:shape id="文本框 2" o:spid="_x0000_s1026" type="#_x0000_t202" style="position:absolute;left:0;text-align:left;margin-left:57.75pt;margin-top:26.5pt;width:78.75pt;height:2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" filled="f" stroked="f">
                <v:textbox>
                  <w:txbxContent>
                    <w:p w14:paraId="6F32434D" w14:textId="77777777" w:rsidR="00FB52B4" w:rsidRDefault="00FB52B4">
                      <w:pPr>
                        <w:spacing w:line="240" w:lineRule="exact"/>
                        <w:rPr>
                          <w:rFonts w:ascii="宋体" w:hAnsi="宋体"/>
                          <w:sz w:val="24"/>
                        </w:rPr>
                      </w:pPr>
                    </w:p>
                  </w:txbxContent>
                </v:textbox>
              </v:shape>
            </w:pict>
          </mc:Fallback>
        </mc:AlternateContent>
      </w:r>
      <w:r>
        <w:rPr>
          <w:rFonts w:hint="eastAsia"/>
          <w:b/>
          <w:bCs/>
          <w:sz w:val="32"/>
        </w:rPr>
        <w:t>外文出处：</w:t>
      </w:r>
      <w:r w:rsidRPr="00911237">
        <w:rPr>
          <w:rFonts w:ascii="楷体" w:eastAsia="楷体" w:hAnsi="楷体" w:hint="eastAsia"/>
          <w:color w:val="000000"/>
          <w:sz w:val="32"/>
          <w:u w:val="single"/>
        </w:rPr>
        <w:t>Science Direct</w:t>
      </w:r>
      <w:r w:rsidRPr="00911237">
        <w:rPr>
          <w:rFonts w:ascii="楷体" w:eastAsia="楷体" w:hAnsi="楷体"/>
          <w:color w:val="000000"/>
          <w:sz w:val="32"/>
          <w:u w:val="single"/>
        </w:rPr>
        <w:t>，202</w:t>
      </w:r>
      <w:r w:rsidRPr="00911237">
        <w:rPr>
          <w:rFonts w:ascii="楷体" w:eastAsia="楷体" w:hAnsi="楷体" w:hint="eastAsia"/>
          <w:color w:val="000000"/>
          <w:sz w:val="32"/>
          <w:u w:val="single"/>
        </w:rPr>
        <w:t>1</w:t>
      </w:r>
      <w:r w:rsidRPr="00911237">
        <w:rPr>
          <w:rFonts w:ascii="楷体" w:eastAsia="楷体" w:hAnsi="楷体"/>
          <w:color w:val="000000"/>
          <w:sz w:val="32"/>
          <w:u w:val="single"/>
        </w:rPr>
        <w:t>，</w:t>
      </w:r>
      <w:r w:rsidRPr="00911237">
        <w:rPr>
          <w:rFonts w:ascii="楷体" w:eastAsia="楷体" w:hAnsi="楷体" w:hint="eastAsia"/>
          <w:color w:val="000000"/>
          <w:sz w:val="32"/>
          <w:u w:val="single"/>
        </w:rPr>
        <w:t>176</w:t>
      </w:r>
      <w:r w:rsidR="009161B6" w:rsidRPr="00911237">
        <w:rPr>
          <w:rFonts w:ascii="楷体" w:eastAsia="楷体" w:hAnsi="楷体" w:hint="eastAsia"/>
          <w:color w:val="000000"/>
          <w:sz w:val="32"/>
          <w:u w:val="single"/>
        </w:rPr>
        <w:t>：</w:t>
      </w:r>
      <w:r w:rsidRPr="00911237">
        <w:rPr>
          <w:rFonts w:ascii="楷体" w:eastAsia="楷体" w:hAnsi="楷体" w:hint="eastAsia"/>
          <w:color w:val="000000"/>
          <w:sz w:val="32"/>
          <w:u w:val="single"/>
        </w:rPr>
        <w:t>109192</w:t>
      </w:r>
      <w:r w:rsidR="00E263AC" w:rsidRPr="00911237">
        <w:rPr>
          <w:rFonts w:ascii="楷体" w:eastAsia="楷体" w:hAnsi="楷体"/>
          <w:color w:val="000000"/>
          <w:sz w:val="32"/>
          <w:u w:val="single"/>
        </w:rPr>
        <w:t>.</w:t>
      </w:r>
      <w:r>
        <w:rPr>
          <w:rFonts w:eastAsia="楷体_GB2312" w:hint="eastAsia"/>
          <w:sz w:val="32"/>
          <w:u w:val="single"/>
        </w:rPr>
        <w:t xml:space="preserve">  </w:t>
      </w:r>
    </w:p>
    <w:p w14:paraId="44730F58" w14:textId="77777777" w:rsidR="00FB52B4" w:rsidRDefault="00000000">
      <w:pPr>
        <w:tabs>
          <w:tab w:val="left" w:pos="8085"/>
        </w:tabs>
        <w:overflowPunct w:val="0"/>
        <w:snapToGrid w:val="0"/>
        <w:spacing w:line="700" w:lineRule="exact"/>
        <w:ind w:rightChars="353" w:right="741" w:firstLineChars="400" w:firstLine="1285"/>
        <w:rPr>
          <w:rFonts w:ascii="楷体_GB2312"/>
          <w:sz w:val="32"/>
          <w:u w:val="single"/>
        </w:rPr>
      </w:pPr>
      <w:r>
        <w:rPr>
          <w:rFonts w:hint="eastAsia"/>
          <w:b/>
          <w:bCs/>
          <w:sz w:val="32"/>
        </w:rPr>
        <w:t>附</w:t>
      </w:r>
      <w:r>
        <w:rPr>
          <w:rFonts w:hint="eastAsia"/>
          <w:b/>
          <w:bCs/>
          <w:sz w:val="32"/>
        </w:rPr>
        <w:t xml:space="preserve">    </w:t>
      </w:r>
      <w:r>
        <w:rPr>
          <w:rFonts w:hint="eastAsia"/>
          <w:b/>
          <w:bCs/>
          <w:sz w:val="32"/>
        </w:rPr>
        <w:t>件：</w:t>
      </w:r>
      <w:r>
        <w:rPr>
          <w:rFonts w:ascii="楷体_GB2312" w:eastAsia="楷体_GB2312" w:hint="eastAsia"/>
          <w:sz w:val="32"/>
          <w:u w:val="single"/>
        </w:rPr>
        <w:t xml:space="preserve"> </w:t>
      </w:r>
      <w:r w:rsidRPr="00911237">
        <w:rPr>
          <w:rFonts w:ascii="楷体" w:eastAsia="楷体" w:hAnsi="楷体" w:hint="eastAsia"/>
          <w:sz w:val="32"/>
          <w:u w:val="single"/>
        </w:rPr>
        <w:t>1.外文资料翻译译文；2.外文原文。</w:t>
      </w:r>
      <w:r>
        <w:rPr>
          <w:rFonts w:ascii="楷体_GB2312" w:eastAsia="楷体_GB2312" w:hint="eastAsia"/>
          <w:sz w:val="32"/>
          <w:u w:val="single"/>
        </w:rPr>
        <w:t xml:space="preserve">       </w:t>
      </w:r>
    </w:p>
    <w:p w14:paraId="0D206BE1" w14:textId="77777777" w:rsidR="00FB52B4" w:rsidRDefault="00FB52B4">
      <w:pPr>
        <w:spacing w:line="600" w:lineRule="exact"/>
        <w:ind w:firstLineChars="400" w:firstLine="1285"/>
        <w:rPr>
          <w:b/>
          <w:bCs/>
          <w:sz w:val="32"/>
          <w:u w:val="single"/>
        </w:rPr>
      </w:pPr>
    </w:p>
    <w:p w14:paraId="2FD7401A" w14:textId="77777777" w:rsidR="00FB52B4" w:rsidRDefault="00FB52B4">
      <w:pPr>
        <w:spacing w:line="600" w:lineRule="exact"/>
        <w:ind w:firstLineChars="400" w:firstLine="1285"/>
        <w:rPr>
          <w:b/>
          <w:bCs/>
          <w:sz w:val="32"/>
          <w:u w:val="single"/>
        </w:rPr>
      </w:pPr>
    </w:p>
    <w:tbl>
      <w:tblPr>
        <w:tblW w:w="0" w:type="auto"/>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5"/>
      </w:tblGrid>
      <w:tr w:rsidR="00FB52B4" w14:paraId="456602E9" w14:textId="77777777">
        <w:trPr>
          <w:trHeight w:val="3405"/>
        </w:trPr>
        <w:tc>
          <w:tcPr>
            <w:tcW w:w="7875" w:type="dxa"/>
            <w:tcBorders>
              <w:top w:val="single" w:sz="8" w:space="0" w:color="auto"/>
              <w:left w:val="single" w:sz="8" w:space="0" w:color="auto"/>
              <w:bottom w:val="single" w:sz="8" w:space="0" w:color="auto"/>
              <w:right w:val="single" w:sz="8" w:space="0" w:color="auto"/>
            </w:tcBorders>
          </w:tcPr>
          <w:p w14:paraId="6FC2E31C" w14:textId="77777777" w:rsidR="00FB52B4" w:rsidRDefault="00000000">
            <w:pPr>
              <w:spacing w:line="360" w:lineRule="auto"/>
              <w:rPr>
                <w:rFonts w:ascii="宋体" w:hAnsi="宋体"/>
                <w:sz w:val="28"/>
                <w:szCs w:val="28"/>
              </w:rPr>
            </w:pPr>
            <w:r>
              <w:rPr>
                <w:rFonts w:ascii="宋体" w:hAnsi="宋体" w:hint="eastAsia"/>
                <w:sz w:val="28"/>
                <w:szCs w:val="28"/>
              </w:rPr>
              <w:t>指导教师评语：</w:t>
            </w:r>
          </w:p>
          <w:p w14:paraId="228F95D2" w14:textId="77777777" w:rsidR="00FB52B4" w:rsidRDefault="00000000">
            <w:pPr>
              <w:spacing w:line="400" w:lineRule="exact"/>
              <w:ind w:firstLineChars="200" w:firstLine="560"/>
              <w:rPr>
                <w:rFonts w:ascii="宋体" w:hAnsi="宋体"/>
                <w:sz w:val="24"/>
              </w:rPr>
            </w:pPr>
            <w:r>
              <w:rPr>
                <w:rFonts w:ascii="宋体" w:hAnsi="宋体" w:hint="eastAsia"/>
                <w:sz w:val="28"/>
                <w:szCs w:val="28"/>
              </w:rPr>
              <w:t>该同学外文资料翻译译文语句较通顺、表达较清晰、专业用语基本准确，能够直译结合意译。说明该同学有一定的外文阅读、翻译能力，达到了本科毕业设计要求。</w:t>
            </w:r>
          </w:p>
          <w:p w14:paraId="79735B73" w14:textId="77777777" w:rsidR="00FB52B4" w:rsidRDefault="00FB52B4">
            <w:pPr>
              <w:spacing w:line="400" w:lineRule="exact"/>
              <w:rPr>
                <w:rFonts w:ascii="宋体" w:hAnsi="宋体"/>
                <w:sz w:val="24"/>
              </w:rPr>
            </w:pPr>
          </w:p>
          <w:p w14:paraId="59883387" w14:textId="77777777" w:rsidR="00FB52B4" w:rsidRDefault="00000000">
            <w:pPr>
              <w:pStyle w:val="a4"/>
              <w:spacing w:line="360" w:lineRule="auto"/>
              <w:ind w:leftChars="0" w:left="0" w:firstLineChars="2400" w:firstLine="5760"/>
              <w:rPr>
                <w:rFonts w:ascii="宋体" w:eastAsia="宋体" w:hAnsi="宋体"/>
                <w:b w:val="0"/>
                <w:bCs w:val="0"/>
                <w:color w:val="auto"/>
                <w:sz w:val="24"/>
                <w:u w:val="single"/>
              </w:rPr>
            </w:pPr>
            <w:r>
              <w:rPr>
                <w:rFonts w:ascii="宋体" w:eastAsia="宋体" w:hAnsi="宋体" w:hint="eastAsia"/>
                <w:b w:val="0"/>
                <w:bCs w:val="0"/>
                <w:color w:val="auto"/>
                <w:sz w:val="24"/>
              </w:rPr>
              <w:t>签名：</w:t>
            </w:r>
            <w:r>
              <w:rPr>
                <w:rFonts w:ascii="宋体" w:eastAsia="宋体" w:hAnsi="宋体" w:hint="eastAsia"/>
                <w:b w:val="0"/>
                <w:bCs w:val="0"/>
                <w:color w:val="auto"/>
                <w:sz w:val="24"/>
                <w:u w:val="single"/>
              </w:rPr>
              <w:t xml:space="preserve">          </w:t>
            </w:r>
          </w:p>
          <w:p w14:paraId="592D997C" w14:textId="77777777" w:rsidR="00FB52B4" w:rsidRDefault="00000000">
            <w:pPr>
              <w:pStyle w:val="a4"/>
              <w:spacing w:line="360" w:lineRule="auto"/>
              <w:ind w:leftChars="0" w:left="0" w:firstLineChars="2400" w:firstLine="5760"/>
              <w:rPr>
                <w:rFonts w:eastAsia="宋体"/>
                <w:b w:val="0"/>
                <w:bCs w:val="0"/>
                <w:color w:val="auto"/>
                <w:sz w:val="28"/>
              </w:rPr>
            </w:pPr>
            <w:r>
              <w:rPr>
                <w:rFonts w:ascii="宋体" w:eastAsia="宋体" w:hAnsi="宋体" w:hint="eastAsia"/>
                <w:b w:val="0"/>
                <w:bCs w:val="0"/>
                <w:color w:val="auto"/>
                <w:sz w:val="24"/>
              </w:rPr>
              <w:t xml:space="preserve">2023年 </w:t>
            </w:r>
            <w:r>
              <w:rPr>
                <w:rFonts w:ascii="宋体" w:eastAsia="宋体" w:hAnsi="宋体"/>
                <w:b w:val="0"/>
                <w:bCs w:val="0"/>
                <w:color w:val="auto"/>
                <w:sz w:val="24"/>
              </w:rPr>
              <w:t>2</w:t>
            </w:r>
            <w:r>
              <w:rPr>
                <w:rFonts w:ascii="宋体" w:eastAsia="宋体" w:hAnsi="宋体" w:hint="eastAsia"/>
                <w:b w:val="0"/>
                <w:bCs w:val="0"/>
                <w:color w:val="auto"/>
                <w:sz w:val="24"/>
              </w:rPr>
              <w:t>月</w:t>
            </w:r>
            <w:r>
              <w:rPr>
                <w:rFonts w:ascii="宋体" w:eastAsia="宋体" w:hAnsi="宋体"/>
                <w:b w:val="0"/>
                <w:bCs w:val="0"/>
                <w:color w:val="auto"/>
                <w:sz w:val="24"/>
              </w:rPr>
              <w:t>26</w:t>
            </w:r>
            <w:r>
              <w:rPr>
                <w:rFonts w:ascii="宋体" w:eastAsia="宋体" w:hAnsi="宋体" w:hint="eastAsia"/>
                <w:b w:val="0"/>
                <w:bCs w:val="0"/>
                <w:color w:val="auto"/>
                <w:sz w:val="24"/>
              </w:rPr>
              <w:t xml:space="preserve"> 日</w:t>
            </w:r>
          </w:p>
        </w:tc>
      </w:tr>
    </w:tbl>
    <w:p w14:paraId="758A8ED1" w14:textId="77777777" w:rsidR="00FB52B4" w:rsidRDefault="00FB52B4">
      <w:pPr>
        <w:rPr>
          <w:rFonts w:ascii="仿宋_GB2312" w:eastAsia="仿宋_GB2312" w:hAnsi="宋体"/>
          <w:b/>
          <w:bCs/>
          <w:sz w:val="32"/>
        </w:rPr>
        <w:sectPr w:rsidR="00FB52B4">
          <w:pgSz w:w="11907" w:h="16839"/>
          <w:pgMar w:top="1418" w:right="1531" w:bottom="1418" w:left="1588" w:header="851" w:footer="992" w:gutter="170"/>
          <w:cols w:space="720"/>
          <w:docGrid w:type="linesAndChars" w:linePitch="312"/>
        </w:sectPr>
      </w:pPr>
    </w:p>
    <w:p w14:paraId="5F95D086" w14:textId="77777777" w:rsidR="00FB52B4" w:rsidRDefault="00000000">
      <w:pPr>
        <w:rPr>
          <w:rFonts w:ascii="仿宋_GB2312" w:eastAsia="仿宋_GB2312" w:hAnsi="宋体"/>
          <w:sz w:val="24"/>
        </w:rPr>
      </w:pPr>
      <w:r>
        <w:rPr>
          <w:rFonts w:ascii="仿宋_GB2312" w:eastAsia="仿宋_GB2312" w:hAnsi="宋体" w:hint="eastAsia"/>
          <w:b/>
          <w:bCs/>
          <w:sz w:val="32"/>
        </w:rPr>
        <w:lastRenderedPageBreak/>
        <w:t>附件1：外文资料翻译译文</w:t>
      </w:r>
    </w:p>
    <w:p w14:paraId="116D9467" w14:textId="77777777" w:rsidR="00FB52B4" w:rsidRDefault="00FB52B4">
      <w:pPr>
        <w:spacing w:line="360" w:lineRule="auto"/>
        <w:ind w:firstLineChars="200" w:firstLine="480"/>
        <w:rPr>
          <w:sz w:val="24"/>
        </w:rPr>
      </w:pPr>
    </w:p>
    <w:p w14:paraId="33E2E03A" w14:textId="77777777" w:rsidR="00FB52B4" w:rsidRDefault="00000000">
      <w:pPr>
        <w:spacing w:line="360" w:lineRule="auto"/>
        <w:jc w:val="center"/>
        <w:rPr>
          <w:rFonts w:ascii="黑体" w:hAnsi="宋体"/>
          <w:b/>
          <w:color w:val="000000"/>
          <w:sz w:val="32"/>
        </w:rPr>
      </w:pPr>
      <w:r>
        <w:rPr>
          <w:rFonts w:ascii="黑体" w:eastAsia="黑体" w:hAnsi="宋体"/>
          <w:b/>
          <w:color w:val="000000"/>
          <w:sz w:val="32"/>
        </w:rPr>
        <w:t>一种测定镉的精确分析方法</w:t>
      </w:r>
      <w:r>
        <w:rPr>
          <w:rFonts w:ascii="黑体" w:eastAsia="黑体" w:hAnsi="宋体" w:hint="eastAsia"/>
          <w:b/>
          <w:color w:val="000000"/>
          <w:sz w:val="32"/>
        </w:rPr>
        <w:t>：</w:t>
      </w:r>
      <w:r>
        <w:rPr>
          <w:rFonts w:ascii="黑体" w:eastAsia="黑体" w:hAnsi="宋体"/>
          <w:b/>
          <w:color w:val="000000"/>
          <w:sz w:val="32"/>
        </w:rPr>
        <w:t>基于紫外线的光化学蒸汽产生-开槽石英管基于原子阱火焰原子吸收分光光度法</w:t>
      </w:r>
    </w:p>
    <w:p w14:paraId="21C0DC60" w14:textId="77777777" w:rsidR="00FB52B4" w:rsidRDefault="00FB52B4">
      <w:pPr>
        <w:spacing w:line="360" w:lineRule="auto"/>
        <w:rPr>
          <w:rFonts w:ascii="宋体" w:hAnsi="宋体"/>
          <w:sz w:val="24"/>
        </w:rPr>
      </w:pPr>
    </w:p>
    <w:p w14:paraId="7ED31767" w14:textId="77777777" w:rsidR="00FB52B4" w:rsidRDefault="00000000">
      <w:pPr>
        <w:spacing w:line="360" w:lineRule="auto"/>
        <w:rPr>
          <w:rFonts w:ascii="宋体" w:hAnsi="宋体"/>
          <w:sz w:val="24"/>
        </w:rPr>
      </w:pPr>
      <w:r>
        <w:rPr>
          <w:rFonts w:ascii="宋体" w:hAnsi="宋体" w:hint="eastAsia"/>
          <w:sz w:val="24"/>
        </w:rPr>
        <w:t>摘要</w:t>
      </w:r>
    </w:p>
    <w:p w14:paraId="0335C408" w14:textId="582C1152" w:rsidR="00FB52B4" w:rsidRDefault="00000000">
      <w:pPr>
        <w:spacing w:line="360" w:lineRule="auto"/>
        <w:ind w:firstLineChars="200" w:firstLine="480"/>
        <w:rPr>
          <w:rFonts w:ascii="宋体" w:hAnsi="宋体"/>
          <w:sz w:val="24"/>
        </w:rPr>
      </w:pPr>
      <w:r>
        <w:rPr>
          <w:rFonts w:ascii="宋体" w:hAnsi="宋体"/>
          <w:sz w:val="24"/>
        </w:rPr>
        <w:t>在本研究中</w:t>
      </w:r>
      <w:r>
        <w:rPr>
          <w:rFonts w:ascii="宋体" w:hAnsi="宋体" w:hint="eastAsia"/>
          <w:sz w:val="24"/>
        </w:rPr>
        <w:t>，</w:t>
      </w:r>
      <w:r>
        <w:rPr>
          <w:rFonts w:ascii="宋体" w:hAnsi="宋体"/>
          <w:sz w:val="24"/>
        </w:rPr>
        <w:t>提出了一种环保</w:t>
      </w:r>
      <w:r>
        <w:rPr>
          <w:rFonts w:ascii="宋体" w:hAnsi="宋体" w:hint="eastAsia"/>
          <w:sz w:val="24"/>
        </w:rPr>
        <w:t>、</w:t>
      </w:r>
      <w:r>
        <w:rPr>
          <w:rFonts w:ascii="宋体" w:hAnsi="宋体"/>
          <w:sz w:val="24"/>
        </w:rPr>
        <w:t>准确的镉测定分析方案。在火焰原子吸收分光光度法（FAAS）分析之前</w:t>
      </w:r>
      <w:r>
        <w:rPr>
          <w:rFonts w:ascii="宋体" w:hAnsi="宋体" w:hint="eastAsia"/>
          <w:sz w:val="24"/>
        </w:rPr>
        <w:t>，</w:t>
      </w:r>
      <w:r>
        <w:rPr>
          <w:rFonts w:ascii="宋体" w:hAnsi="宋体"/>
          <w:sz w:val="24"/>
        </w:rPr>
        <w:t>采用基于紫外线的光化学蒸汽产生（PVG）方法作为样品引入系统来消除基质效应</w:t>
      </w:r>
      <w:r>
        <w:rPr>
          <w:rFonts w:ascii="宋体" w:hAnsi="宋体" w:hint="eastAsia"/>
          <w:sz w:val="24"/>
        </w:rPr>
        <w:t>。</w:t>
      </w:r>
      <w:r>
        <w:rPr>
          <w:rFonts w:ascii="宋体" w:hAnsi="宋体"/>
          <w:sz w:val="24"/>
        </w:rPr>
        <w:t>为了进一步提高系统的分析性能，将PVG系统与一种称为t形开槽石英管-原子捕获（T-SQT-AT）的在线预富集技术相结合，用于在线预富集镉。氢气被用于从石英表面释放收集到的Cd原子。在最佳条件下，该方法的检出限（LOD）和定量限（LOQ）分别为2</w:t>
      </w:r>
      <w:r>
        <w:rPr>
          <w:rFonts w:ascii="宋体" w:hAnsi="宋体" w:hint="eastAsia"/>
          <w:sz w:val="24"/>
        </w:rPr>
        <w:t>.</w:t>
      </w:r>
      <w:r>
        <w:rPr>
          <w:rFonts w:ascii="宋体" w:hAnsi="宋体"/>
          <w:sz w:val="24"/>
        </w:rPr>
        <w:t>5ng/mL和8.2ng/mL</w:t>
      </w:r>
      <w:r>
        <w:rPr>
          <w:rFonts w:ascii="宋体" w:hAnsi="宋体" w:hint="eastAsia"/>
          <w:sz w:val="24"/>
        </w:rPr>
        <w:t>。</w:t>
      </w:r>
      <w:r>
        <w:rPr>
          <w:rFonts w:ascii="宋体" w:hAnsi="宋体"/>
          <w:sz w:val="24"/>
        </w:rPr>
        <w:t>自来水和达芙蓉茶样品的回收率分别为87.6%</w:t>
      </w:r>
      <w:r w:rsidR="004101CD">
        <w:rPr>
          <w:rFonts w:ascii="宋体" w:hAnsi="宋体" w:hint="eastAsia"/>
          <w:sz w:val="24"/>
        </w:rPr>
        <w:t>～</w:t>
      </w:r>
      <w:r>
        <w:rPr>
          <w:rFonts w:ascii="宋体" w:hAnsi="宋体"/>
          <w:sz w:val="24"/>
        </w:rPr>
        <w:t>105.3%和90.9%</w:t>
      </w:r>
      <w:r w:rsidR="009161B6">
        <w:rPr>
          <w:rFonts w:ascii="宋体" w:hAnsi="宋体" w:hint="eastAsia"/>
          <w:sz w:val="24"/>
        </w:rPr>
        <w:t>～</w:t>
      </w:r>
      <w:r>
        <w:rPr>
          <w:rFonts w:ascii="宋体" w:hAnsi="宋体"/>
          <w:sz w:val="24"/>
        </w:rPr>
        <w:t>103.3%。</w:t>
      </w:r>
    </w:p>
    <w:p w14:paraId="40AE12E4" w14:textId="77777777" w:rsidR="00FB52B4" w:rsidRDefault="00000000">
      <w:pPr>
        <w:spacing w:line="360" w:lineRule="auto"/>
        <w:rPr>
          <w:rFonts w:ascii="宋体" w:hAnsi="宋体"/>
          <w:sz w:val="24"/>
        </w:rPr>
      </w:pPr>
      <w:r>
        <w:rPr>
          <w:rFonts w:ascii="宋体" w:hAnsi="宋体" w:hint="eastAsia"/>
          <w:sz w:val="24"/>
        </w:rPr>
        <w:t>介绍</w:t>
      </w:r>
    </w:p>
    <w:p w14:paraId="71178035" w14:textId="00A048D7" w:rsidR="00FB52B4" w:rsidRDefault="00000000">
      <w:pPr>
        <w:spacing w:line="360" w:lineRule="auto"/>
        <w:ind w:firstLineChars="200" w:firstLine="480"/>
        <w:rPr>
          <w:rFonts w:ascii="宋体" w:hAnsi="宋体"/>
          <w:sz w:val="24"/>
        </w:rPr>
      </w:pPr>
      <w:r>
        <w:rPr>
          <w:rFonts w:ascii="宋体" w:hAnsi="宋体"/>
          <w:sz w:val="24"/>
        </w:rPr>
        <w:t>镉作为元素周期表IIB族中的过渡金属，对生物体具有致癌和毒性。它一般以其金属矿石及其矿物化合物如氧化镉和硫酸镉的形式存在于自然界中。这种元素被用于生产电池、塑料、金属容器、肥料、颜料</w:t>
      </w:r>
      <w:r>
        <w:rPr>
          <w:rFonts w:ascii="宋体" w:hAnsi="宋体" w:hint="eastAsia"/>
          <w:sz w:val="24"/>
        </w:rPr>
        <w:t>，</w:t>
      </w:r>
      <w:r>
        <w:rPr>
          <w:rFonts w:ascii="宋体" w:hAnsi="宋体"/>
          <w:sz w:val="24"/>
        </w:rPr>
        <w:t>每年约有3万吨镉被释放到生态系统中。因此，人体肯定会通过水、空气、食物或使用镉的工业区域接触到镉。香烟也是人体代谢接触镉的主要途径之一。据报道，烟草中的镉浓度在0.77</w:t>
      </w:r>
      <w:r w:rsidR="00C60EA5">
        <w:rPr>
          <w:rFonts w:ascii="宋体" w:hAnsi="宋体"/>
          <w:sz w:val="24"/>
        </w:rPr>
        <w:t>µg/g</w:t>
      </w:r>
      <w:r w:rsidR="009161B6">
        <w:rPr>
          <w:rFonts w:ascii="宋体" w:hAnsi="宋体" w:hint="eastAsia"/>
          <w:sz w:val="24"/>
        </w:rPr>
        <w:t>～</w:t>
      </w:r>
      <w:r>
        <w:rPr>
          <w:rFonts w:ascii="宋体" w:hAnsi="宋体"/>
          <w:sz w:val="24"/>
        </w:rPr>
        <w:t>7.02µg/g之间。众所周知，镉对肾、肝等器官具有毒性作用。它可以导致活性氧的产生，DNA损伤和DNA修复系统的抑制</w:t>
      </w:r>
      <w:r>
        <w:rPr>
          <w:rFonts w:ascii="宋体" w:hAnsi="宋体" w:hint="eastAsia"/>
          <w:sz w:val="24"/>
        </w:rPr>
        <w:t>。</w:t>
      </w:r>
      <w:r>
        <w:rPr>
          <w:rFonts w:ascii="宋体" w:hAnsi="宋体"/>
          <w:sz w:val="24"/>
        </w:rPr>
        <w:t>此外，美国环境保护署</w:t>
      </w:r>
      <w:r w:rsidR="009161B6">
        <w:rPr>
          <w:rFonts w:ascii="宋体" w:hAnsi="宋体" w:hint="eastAsia"/>
          <w:sz w:val="24"/>
        </w:rPr>
        <w:t>(</w:t>
      </w:r>
      <w:r>
        <w:rPr>
          <w:rFonts w:ascii="宋体" w:hAnsi="宋体"/>
          <w:sz w:val="24"/>
        </w:rPr>
        <w:t>USEPA）建议饮用水中镉的可接受最高水平为5.0µg/L。</w:t>
      </w:r>
    </w:p>
    <w:p w14:paraId="2D9E57C2" w14:textId="24ABEC56" w:rsidR="00FB52B4" w:rsidRDefault="00000000">
      <w:pPr>
        <w:spacing w:line="360" w:lineRule="auto"/>
        <w:ind w:firstLineChars="200" w:firstLine="480"/>
        <w:rPr>
          <w:rFonts w:ascii="宋体" w:hAnsi="宋体"/>
          <w:sz w:val="24"/>
        </w:rPr>
      </w:pPr>
      <w:r>
        <w:rPr>
          <w:rFonts w:ascii="宋体" w:hAnsi="宋体"/>
          <w:sz w:val="24"/>
        </w:rPr>
        <w:t>在分析原子光谱学中，化学蒸汽生成（CVG）常被用作样品导入系统。非易失性通过对样品进行各种预处理，金属种类可转化为其挥发形式（金属氢化物、金属烷基、金属卤化物和金属羰基等）。CVG系统具有降低基体效应、提高分析仪器的检测能力和对分析物的选择性等优点。在氢化物生成系统中，硼氢化钠被用作还原剂，用于生成有利金属的挥发性氢化物。还原剂（NaBH</w:t>
      </w:r>
      <w:r>
        <w:rPr>
          <w:rFonts w:ascii="宋体" w:hAnsi="宋体"/>
          <w:sz w:val="24"/>
          <w:vertAlign w:val="subscript"/>
        </w:rPr>
        <w:t>4</w:t>
      </w:r>
      <w:r>
        <w:rPr>
          <w:rFonts w:ascii="宋体" w:hAnsi="宋体"/>
          <w:sz w:val="24"/>
        </w:rPr>
        <w:t>）已被用于镉挥发性物质的形成，并观察到镉氢化物在室温下分解。镉原子在室温下生成，并在没</w:t>
      </w:r>
      <w:r>
        <w:rPr>
          <w:rFonts w:ascii="宋体" w:hAnsi="宋体"/>
          <w:sz w:val="24"/>
        </w:rPr>
        <w:lastRenderedPageBreak/>
        <w:t>有火焰的情况下吸收它的比辐射。另一方面，氢化物生成方法需要昂贵且不稳定的化学物质。因此，开发了一种绿色替代方法，称为基于紫外线的光化学蒸汽生成（PVG），通过利用低分子量有机酸（LMWOAs）作为光化学试剂来产生挥发性金属分析物。另一方面，在文献中</w:t>
      </w:r>
      <w:r>
        <w:rPr>
          <w:rFonts w:ascii="宋体" w:hAnsi="宋体" w:hint="eastAsia"/>
          <w:sz w:val="24"/>
        </w:rPr>
        <w:t>，</w:t>
      </w:r>
      <w:r>
        <w:rPr>
          <w:rFonts w:ascii="宋体" w:hAnsi="宋体"/>
          <w:sz w:val="24"/>
        </w:rPr>
        <w:t>紫外照射下LMWOA介质中发生的挥发性镉物质并没有很好地鉴定</w:t>
      </w:r>
      <w:r>
        <w:rPr>
          <w:rFonts w:ascii="宋体" w:hAnsi="宋体" w:hint="eastAsia"/>
          <w:sz w:val="24"/>
        </w:rPr>
        <w:t>。</w:t>
      </w:r>
      <w:r>
        <w:rPr>
          <w:rFonts w:ascii="宋体" w:hAnsi="宋体"/>
          <w:sz w:val="24"/>
        </w:rPr>
        <w:t>2003年</w:t>
      </w:r>
      <w:r>
        <w:rPr>
          <w:rFonts w:ascii="宋体" w:hAnsi="宋体" w:hint="eastAsia"/>
          <w:sz w:val="24"/>
        </w:rPr>
        <w:t>，</w:t>
      </w:r>
      <w:r>
        <w:rPr>
          <w:rFonts w:ascii="宋体" w:hAnsi="宋体"/>
          <w:sz w:val="24"/>
        </w:rPr>
        <w:t>Sturgeon等报道了首个以PVG系统为样本的研究原子吸收光谱法引入系统。该系统已成为从不同基质中分离几种金属的常用分析方法。文献中，将PVG系统与原子荧光光谱-光度法（AFS）、电感耦合等离子体-光学发射光谱（ICP-OES）、电感耦合等离子体-质谱法（ICP-MS）和石墨炉原子吸收光谱法（GF-AAS）等几种分析仪器耦合，用于几种分析物的测定。</w:t>
      </w:r>
    </w:p>
    <w:p w14:paraId="2E997389" w14:textId="6CBD3101" w:rsidR="00FB52B4" w:rsidRDefault="00000000">
      <w:pPr>
        <w:spacing w:line="360" w:lineRule="auto"/>
        <w:ind w:firstLineChars="200" w:firstLine="480"/>
        <w:rPr>
          <w:rFonts w:ascii="宋体" w:hAnsi="宋体"/>
          <w:sz w:val="24"/>
        </w:rPr>
      </w:pPr>
      <w:r>
        <w:rPr>
          <w:rFonts w:ascii="宋体" w:hAnsi="宋体"/>
          <w:sz w:val="24"/>
        </w:rPr>
        <w:t>火焰原子吸收分光光度法（FAAS）的检出限比其他一些分光光度仪（GFAAS</w:t>
      </w:r>
      <w:r w:rsidR="009161B6">
        <w:rPr>
          <w:rFonts w:ascii="宋体" w:hAnsi="宋体"/>
          <w:sz w:val="24"/>
        </w:rPr>
        <w:t>,</w:t>
      </w:r>
      <w:r>
        <w:rPr>
          <w:rFonts w:ascii="宋体" w:hAnsi="宋体"/>
          <w:sz w:val="24"/>
        </w:rPr>
        <w:t>ICP-MS）要高，因为FAAS体系中雾化效率低，原子在光路上停留时间短。有几种离线和在线预富集方法可以实现对分析物的较低检出限。一些离线方法，如分散液-液微萃取（DLLME）</w:t>
      </w:r>
      <w:r>
        <w:rPr>
          <w:rFonts w:ascii="宋体" w:hAnsi="宋体" w:hint="eastAsia"/>
          <w:sz w:val="24"/>
        </w:rPr>
        <w:t>、</w:t>
      </w:r>
      <w:r>
        <w:rPr>
          <w:rFonts w:ascii="宋体" w:hAnsi="宋体"/>
          <w:sz w:val="24"/>
        </w:rPr>
        <w:t>可切换溶剂基液相微萃取（SSLPME）、固相萃取（SPE）和超声辅助磁分散微固相萃取（UA-M-D-µSPE），已被用于从几种基质中提取和预浓缩分析物。解决这些问题的另一种方法是将开槽石英管（SQT）与传统的FAAS系统结合使用。开槽石英管用于FAAS系统主要有两个目的:（a）增强原子在FAAS光路中的停留时间，</w:t>
      </w:r>
      <w:r w:rsidR="004101CD">
        <w:rPr>
          <w:rFonts w:ascii="宋体" w:hAnsi="宋体"/>
          <w:sz w:val="24"/>
        </w:rPr>
        <w:t>（</w:t>
      </w:r>
      <w:r>
        <w:rPr>
          <w:rFonts w:ascii="宋体" w:hAnsi="宋体"/>
          <w:sz w:val="24"/>
        </w:rPr>
        <w:t>b</w:t>
      </w:r>
      <w:r w:rsidR="004101CD">
        <w:rPr>
          <w:rFonts w:ascii="宋体" w:hAnsi="宋体"/>
          <w:sz w:val="24"/>
        </w:rPr>
        <w:t>）</w:t>
      </w:r>
      <w:r>
        <w:rPr>
          <w:rFonts w:ascii="宋体" w:hAnsi="宋体"/>
          <w:sz w:val="24"/>
        </w:rPr>
        <w:t>在SQT的内表面捕获原子。在原子阱（AT）研究中，SQT被用作在线预富集工具，主要有两个步骤:（1）在贫焰条件下将分析物原子吸附到SQT的内表面上;（2）使用有机溶剂或氢气将分析物原子从SQT的内表面释放出来。</w:t>
      </w:r>
    </w:p>
    <w:p w14:paraId="4FF2223D" w14:textId="77777777" w:rsidR="00FB52B4" w:rsidRDefault="00000000">
      <w:pPr>
        <w:spacing w:line="360" w:lineRule="auto"/>
        <w:ind w:firstLineChars="200" w:firstLine="480"/>
        <w:rPr>
          <w:rFonts w:ascii="宋体" w:hAnsi="宋体"/>
          <w:sz w:val="24"/>
        </w:rPr>
      </w:pPr>
      <w:r>
        <w:rPr>
          <w:rFonts w:ascii="宋体" w:hAnsi="宋体"/>
          <w:sz w:val="24"/>
        </w:rPr>
        <w:t>在本研究中，在FAAS分析之前，建立了配备T-SQT-AT系统的PVG系统，以测定自来水和达芙芙茶样品中的痕量镉。采用单变量优化方法，为所有变量指定最佳条件。在最佳条件下，对自来水和达芙蓉茶样品中的镉进行了方法验证和回收率实验。本研究是项目的一部分，也是PVG-T-SQT-AT-FAAS联合检测镉的首次研究。</w:t>
      </w:r>
    </w:p>
    <w:p w14:paraId="17186557" w14:textId="77777777" w:rsidR="00FB52B4" w:rsidRDefault="00000000">
      <w:pPr>
        <w:spacing w:line="360" w:lineRule="auto"/>
        <w:rPr>
          <w:rFonts w:ascii="宋体" w:hAnsi="宋体"/>
          <w:sz w:val="24"/>
        </w:rPr>
      </w:pPr>
      <w:r>
        <w:rPr>
          <w:rFonts w:ascii="宋体" w:hAnsi="宋体"/>
          <w:sz w:val="24"/>
        </w:rPr>
        <w:t>化学试剂及仪表</w:t>
      </w:r>
    </w:p>
    <w:p w14:paraId="1DF472A7" w14:textId="5002515C" w:rsidR="00FB52B4" w:rsidRDefault="00000000">
      <w:pPr>
        <w:spacing w:line="360" w:lineRule="auto"/>
        <w:ind w:firstLineChars="200" w:firstLine="480"/>
      </w:pPr>
      <w:r>
        <w:rPr>
          <w:rFonts w:ascii="宋体" w:hAnsi="宋体"/>
          <w:sz w:val="24"/>
        </w:rPr>
        <w:t>镉、铁、硒、铅、钙和镁标准溶液（1000mg/L）。这些溶液作为原液，在整个研究过程中通过稀释来制备工作标准溶液。甲酸（纯度98%-100%）、乙酸（纯度</w:t>
      </w:r>
      <w:r w:rsidR="009161B6">
        <w:rPr>
          <w:rFonts w:asciiTheme="minorEastAsia" w:eastAsiaTheme="minorEastAsia" w:hAnsiTheme="minorEastAsia" w:cs="PingFang SC" w:hint="eastAsia"/>
          <w:sz w:val="24"/>
        </w:rPr>
        <w:t>&gt;</w:t>
      </w:r>
      <w:r>
        <w:rPr>
          <w:rFonts w:ascii="宋体" w:hAnsi="宋体"/>
          <w:sz w:val="24"/>
        </w:rPr>
        <w:t>99.6%）、丙酸（纯度99.0%）、氯化钠（纯度99.0%）、硝酸钾（纯度≥99.0%）。</w:t>
      </w:r>
      <w:r>
        <w:rPr>
          <w:rFonts w:ascii="宋体" w:hAnsi="宋体"/>
          <w:sz w:val="24"/>
        </w:rPr>
        <w:lastRenderedPageBreak/>
        <w:t>使用Elga3水净化系统。从气体供应商获得高纯氩气和氢气。采用带燃烧器头的原子吸收分光光度计系统对镉进行定量测定。镉空心阴极灯（HCL）的狭缝宽度为0.5nm，发射波长为228.8nm，工作电流为2.0mA。采用氘空心阴极灯进行背景校正。T-</w:t>
      </w:r>
      <w:proofErr w:type="spellStart"/>
      <w:r>
        <w:rPr>
          <w:rFonts w:ascii="宋体" w:hAnsi="宋体"/>
          <w:sz w:val="24"/>
        </w:rPr>
        <w:t>sqt</w:t>
      </w:r>
      <w:proofErr w:type="spellEnd"/>
      <w:r>
        <w:rPr>
          <w:rFonts w:ascii="宋体" w:hAnsi="宋体"/>
          <w:sz w:val="24"/>
        </w:rPr>
        <w:t>的尺寸为长16.0cm,T-sqt中T部分长6.0cm，外径1.8cm，内径1.5cm，入口槽5.8cm，出口槽2.0cm。此外在T-SQT系统的两侧放置了两把气刀，以防止喇叭状火焰扩展损坏FAA组件。一个蠕动泵用于在整个样品生产线上运输标准</w:t>
      </w:r>
      <w:r>
        <w:rPr>
          <w:rFonts w:ascii="宋体" w:hAnsi="宋体" w:hint="eastAsia"/>
          <w:sz w:val="24"/>
        </w:rPr>
        <w:t>、</w:t>
      </w:r>
      <w:r>
        <w:rPr>
          <w:rFonts w:ascii="宋体" w:hAnsi="宋体"/>
          <w:sz w:val="24"/>
        </w:rPr>
        <w:t>样品溶液。在实验室中生产了具有独特设计的紫外线辐射光反应器，由两部分组成:（1）一个紫外线辐射源（SylvaniaT5型，产品名称为</w:t>
      </w:r>
      <w:proofErr w:type="spellStart"/>
      <w:r>
        <w:rPr>
          <w:rFonts w:ascii="宋体" w:hAnsi="宋体"/>
          <w:sz w:val="24"/>
        </w:rPr>
        <w:t>FeiloSylvania</w:t>
      </w:r>
      <w:proofErr w:type="spellEnd"/>
      <w:r>
        <w:rPr>
          <w:rFonts w:ascii="宋体" w:hAnsi="宋体"/>
          <w:sz w:val="24"/>
        </w:rPr>
        <w:t>，土耳其）和（2）一条管道，用于在样品溶液转移到气液分离器（GLS）期间用紫外线照射处理样品溶液。该光源在UV-c区（约85%）发射紫外辐射，峰值为253.7nm。反应器内部的管由石英材料制成，为了最大限度地发挥光-分析物的相互作用，石英材料在UV区没有吸收。石英管是用8根相等的石英管以锯齿形图案相互连接而成的。石英管的内容积约为15.2mL，为了提高LMWOA自由基形成的光子透过率，将紫外光源放置在石英管的中心。反应器容器的内表面用铝箔覆盖，以保护实验室人员。GLS的喷雾室设计为球形。GLS的内部体积约为65cm</w:t>
      </w:r>
      <w:r>
        <w:rPr>
          <w:rFonts w:ascii="宋体" w:hAnsi="宋体"/>
          <w:sz w:val="24"/>
          <w:vertAlign w:val="superscript"/>
        </w:rPr>
        <w:t>3</w:t>
      </w:r>
      <w:r>
        <w:rPr>
          <w:rFonts w:ascii="宋体" w:hAnsi="宋体"/>
          <w:sz w:val="24"/>
        </w:rPr>
        <w:t>。雾化器与腔室同心，将液滴喷射到内壁。向腔室底部延伸一根圆柱形管，以防止液体样品被氩气拖到雾化器。圆柱形管的尺寸为高40mm，外径10mm，内径6mm。图1为PVG-T-SQT-AT-FAAS系统。</w:t>
      </w:r>
    </w:p>
    <w:p w14:paraId="45DF4569" w14:textId="77777777" w:rsidR="00FB52B4" w:rsidRDefault="00000000">
      <w:pPr>
        <w:spacing w:line="360" w:lineRule="auto"/>
        <w:rPr>
          <w:rFonts w:ascii="宋体" w:hAnsi="宋体"/>
          <w:szCs w:val="21"/>
        </w:rPr>
      </w:pPr>
      <w:r>
        <w:rPr>
          <w:noProof/>
        </w:rPr>
        <w:drawing>
          <wp:inline distT="0" distB="0" distL="114300" distR="114300" wp14:anchorId="77AD7B4F" wp14:editId="55606C94">
            <wp:extent cx="5397500" cy="2590800"/>
            <wp:effectExtent l="0" t="0" r="1270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5"/>
                    <a:stretch>
                      <a:fillRect/>
                    </a:stretch>
                  </pic:blipFill>
                  <pic:spPr>
                    <a:xfrm>
                      <a:off x="0" y="0"/>
                      <a:ext cx="5397500" cy="2590800"/>
                    </a:xfrm>
                    <a:prstGeom prst="rect">
                      <a:avLst/>
                    </a:prstGeom>
                    <a:noFill/>
                    <a:ln>
                      <a:noFill/>
                    </a:ln>
                  </pic:spPr>
                </pic:pic>
              </a:graphicData>
            </a:graphic>
          </wp:inline>
        </w:drawing>
      </w:r>
    </w:p>
    <w:p w14:paraId="2176B7B2" w14:textId="77777777" w:rsidR="00FB52B4" w:rsidRDefault="00000000">
      <w:pPr>
        <w:spacing w:line="360" w:lineRule="auto"/>
        <w:jc w:val="center"/>
        <w:rPr>
          <w:rFonts w:ascii="宋体" w:hAnsi="宋体"/>
          <w:szCs w:val="21"/>
        </w:rPr>
      </w:pPr>
      <w:r>
        <w:rPr>
          <w:rFonts w:ascii="宋体" w:hAnsi="宋体"/>
          <w:szCs w:val="21"/>
        </w:rPr>
        <w:t>图1  PVG-T-SQT-AT-FAAS系统原理图</w:t>
      </w:r>
    </w:p>
    <w:p w14:paraId="6271E661" w14:textId="77777777" w:rsidR="00FB52B4" w:rsidRDefault="00FB52B4">
      <w:pPr>
        <w:spacing w:line="360" w:lineRule="auto"/>
        <w:jc w:val="center"/>
        <w:rPr>
          <w:rFonts w:ascii="宋体" w:hAnsi="宋体"/>
          <w:sz w:val="24"/>
        </w:rPr>
      </w:pPr>
    </w:p>
    <w:p w14:paraId="469FF25A" w14:textId="77777777" w:rsidR="00FB52B4" w:rsidRDefault="00000000">
      <w:pPr>
        <w:spacing w:line="360" w:lineRule="auto"/>
        <w:rPr>
          <w:rFonts w:ascii="宋体" w:hAnsi="宋体"/>
          <w:sz w:val="24"/>
        </w:rPr>
      </w:pPr>
      <w:r>
        <w:rPr>
          <w:rFonts w:ascii="宋体" w:hAnsi="宋体"/>
          <w:sz w:val="24"/>
        </w:rPr>
        <w:lastRenderedPageBreak/>
        <w:t>过程</w:t>
      </w:r>
    </w:p>
    <w:p w14:paraId="01213BBE" w14:textId="77777777" w:rsidR="00FB52B4" w:rsidRDefault="00000000">
      <w:pPr>
        <w:spacing w:line="360" w:lineRule="auto"/>
        <w:ind w:firstLineChars="200" w:firstLine="480"/>
        <w:rPr>
          <w:rFonts w:ascii="宋体" w:hAnsi="宋体"/>
          <w:sz w:val="24"/>
        </w:rPr>
      </w:pPr>
      <w:r>
        <w:rPr>
          <w:rFonts w:ascii="宋体" w:hAnsi="宋体"/>
          <w:sz w:val="24"/>
        </w:rPr>
        <w:t>第一步用8.0M丙酸酸化标准液</w:t>
      </w:r>
      <w:r>
        <w:rPr>
          <w:rFonts w:ascii="宋体" w:hAnsi="宋体" w:hint="eastAsia"/>
          <w:sz w:val="24"/>
        </w:rPr>
        <w:t>、</w:t>
      </w:r>
      <w:r>
        <w:rPr>
          <w:rFonts w:ascii="宋体" w:hAnsi="宋体"/>
          <w:sz w:val="24"/>
        </w:rPr>
        <w:t>样品溶液。接下来，使用蠕动泵将每个酸化的样品</w:t>
      </w:r>
      <w:r>
        <w:rPr>
          <w:rFonts w:ascii="宋体" w:hAnsi="宋体" w:hint="eastAsia"/>
          <w:sz w:val="24"/>
        </w:rPr>
        <w:t>、</w:t>
      </w:r>
      <w:r>
        <w:rPr>
          <w:rFonts w:ascii="宋体" w:hAnsi="宋体"/>
          <w:sz w:val="24"/>
        </w:rPr>
        <w:t>标准溶液送入PVG系统6.0min。在蠕动泵的帮助下，将样品</w:t>
      </w:r>
      <w:r>
        <w:rPr>
          <w:rFonts w:ascii="宋体" w:hAnsi="宋体" w:hint="eastAsia"/>
          <w:sz w:val="24"/>
        </w:rPr>
        <w:t>、</w:t>
      </w:r>
      <w:r>
        <w:rPr>
          <w:rFonts w:ascii="宋体" w:hAnsi="宋体"/>
          <w:sz w:val="24"/>
        </w:rPr>
        <w:t>标准溶液的流速固定在3.8mL/min。通过蠕动泵固定在一定流速下，将酸化后的溶液暴露在紫外线下4.0min。当酸化溶液的第一滴进入GLS时，载气（氩气）的阀门迅速打开，以便将分析物的挥发性物质转移到T-SQT系统中。挥发性分析物在稀薄火焰下被困在T-SQT表面上，持续6.0min。在样品完全滴入GLS后，载气阀关闭。最后，将氢气送入T-SQT系统，释放T-SQT内表面所有被捕获的分析物原子</w:t>
      </w:r>
      <w:r>
        <w:rPr>
          <w:rFonts w:ascii="宋体" w:hAnsi="宋体" w:hint="eastAsia"/>
          <w:sz w:val="24"/>
        </w:rPr>
        <w:t>，</w:t>
      </w:r>
      <w:r>
        <w:rPr>
          <w:rFonts w:ascii="宋体" w:hAnsi="宋体"/>
          <w:sz w:val="24"/>
        </w:rPr>
        <w:t>获得目标分析物的清晰分析信号。</w:t>
      </w:r>
    </w:p>
    <w:p w14:paraId="72FDA1B7" w14:textId="77777777" w:rsidR="00FB52B4" w:rsidRDefault="00000000">
      <w:pPr>
        <w:spacing w:line="360" w:lineRule="auto"/>
        <w:rPr>
          <w:rFonts w:ascii="宋体" w:hAnsi="宋体"/>
          <w:sz w:val="24"/>
        </w:rPr>
      </w:pPr>
      <w:r>
        <w:rPr>
          <w:rFonts w:ascii="宋体" w:hAnsi="宋体"/>
          <w:sz w:val="24"/>
        </w:rPr>
        <w:t>样品</w:t>
      </w:r>
    </w:p>
    <w:p w14:paraId="0731E471" w14:textId="78594E4F" w:rsidR="00FB52B4" w:rsidRDefault="00000000">
      <w:pPr>
        <w:spacing w:line="360" w:lineRule="auto"/>
        <w:ind w:firstLineChars="200" w:firstLine="480"/>
        <w:rPr>
          <w:rFonts w:ascii="宋体" w:hAnsi="宋体"/>
          <w:sz w:val="24"/>
        </w:rPr>
      </w:pPr>
      <w:r>
        <w:rPr>
          <w:rFonts w:ascii="宋体" w:hAnsi="宋体"/>
          <w:sz w:val="24"/>
        </w:rPr>
        <w:t>自来水样品被装入一个预先清洗过的聚丙烯瓶中。接下来，将样品部分分别放入量瓶中，每个量瓶中加入30.1mL</w:t>
      </w:r>
      <w:r w:rsidR="009161B6">
        <w:rPr>
          <w:rFonts w:ascii="宋体" w:hAnsi="宋体" w:hint="eastAsia"/>
          <w:sz w:val="24"/>
        </w:rPr>
        <w:t>的</w:t>
      </w:r>
      <w:r>
        <w:rPr>
          <w:rFonts w:ascii="宋体" w:hAnsi="宋体"/>
          <w:sz w:val="24"/>
        </w:rPr>
        <w:t>13.3M丙酸。然后，分别在自来水样品中加入50ng/mL</w:t>
      </w:r>
      <w:r>
        <w:rPr>
          <w:rFonts w:ascii="宋体" w:hAnsi="宋体" w:hint="eastAsia"/>
          <w:sz w:val="24"/>
        </w:rPr>
        <w:t>、</w:t>
      </w:r>
      <w:r>
        <w:rPr>
          <w:rFonts w:ascii="宋体" w:hAnsi="宋体"/>
          <w:sz w:val="24"/>
        </w:rPr>
        <w:t>100ng/mL和200ng/mL的Cd，然后用去离子水填充到50mL。达芙妮茶叶（2.50g）称重后装入量瓶，用饮用水稀释至250mL。然后，将混合物煮沸15分钟，冷却至室温。在60ng/mL</w:t>
      </w:r>
      <w:r w:rsidR="009161B6">
        <w:rPr>
          <w:rFonts w:ascii="宋体" w:hAnsi="宋体" w:hint="eastAsia"/>
          <w:sz w:val="24"/>
        </w:rPr>
        <w:t>～</w:t>
      </w:r>
      <w:r>
        <w:rPr>
          <w:rFonts w:ascii="宋体" w:hAnsi="宋体"/>
          <w:sz w:val="24"/>
        </w:rPr>
        <w:t>180ng/mL范围内对达芙妮茶溶液进行相同的加标程序。</w:t>
      </w:r>
    </w:p>
    <w:p w14:paraId="201584EA" w14:textId="77777777" w:rsidR="00FB52B4" w:rsidRDefault="00000000">
      <w:pPr>
        <w:spacing w:line="360" w:lineRule="auto"/>
        <w:ind w:firstLineChars="200" w:firstLine="480"/>
        <w:rPr>
          <w:rFonts w:ascii="宋体" w:hAnsi="宋体"/>
          <w:sz w:val="24"/>
        </w:rPr>
      </w:pPr>
      <w:r>
        <w:rPr>
          <w:rFonts w:ascii="宋体" w:hAnsi="宋体"/>
          <w:sz w:val="24"/>
        </w:rPr>
        <w:t>在干扰研究中，选择硒、铁、铅、钙、镁、钠、钾、硝酸盐和氯化物作为所开发方法的可能干扰剂。在两种镉标准溶液（0.67µM/75µg/L）中加入干扰剂，加标至1:1和1:10的ana-</w:t>
      </w:r>
      <w:proofErr w:type="spellStart"/>
      <w:r>
        <w:rPr>
          <w:rFonts w:ascii="宋体" w:hAnsi="宋体"/>
          <w:sz w:val="24"/>
        </w:rPr>
        <w:t>lyte</w:t>
      </w:r>
      <w:proofErr w:type="spellEnd"/>
      <w:r>
        <w:rPr>
          <w:rFonts w:ascii="宋体" w:hAnsi="宋体" w:hint="eastAsia"/>
          <w:sz w:val="24"/>
        </w:rPr>
        <w:t>、</w:t>
      </w:r>
      <w:r>
        <w:rPr>
          <w:rFonts w:ascii="宋体" w:hAnsi="宋体"/>
          <w:sz w:val="24"/>
        </w:rPr>
        <w:t>干扰物摩尔比。硒、铁、铅、钙和镁溶液分别稀释其单独的标准溶液制备，氯化钠和硝酸钾盐分别作为其单独的离子。</w:t>
      </w:r>
    </w:p>
    <w:p w14:paraId="7498D1E2" w14:textId="77777777" w:rsidR="00FB52B4" w:rsidRDefault="00000000">
      <w:pPr>
        <w:spacing w:line="360" w:lineRule="auto"/>
        <w:rPr>
          <w:rFonts w:ascii="宋体" w:hAnsi="宋体"/>
          <w:sz w:val="24"/>
        </w:rPr>
      </w:pPr>
      <w:r>
        <w:rPr>
          <w:rFonts w:ascii="宋体" w:hAnsi="宋体"/>
          <w:sz w:val="24"/>
        </w:rPr>
        <w:t>结果与讨论（T-SQT-AT系统优化）。</w:t>
      </w:r>
    </w:p>
    <w:p w14:paraId="25B8B2E1" w14:textId="12C82598" w:rsidR="00FB52B4" w:rsidRDefault="00000000">
      <w:pPr>
        <w:spacing w:line="360" w:lineRule="auto"/>
        <w:ind w:firstLineChars="200" w:firstLine="480"/>
        <w:rPr>
          <w:rFonts w:ascii="宋体" w:hAnsi="宋体"/>
          <w:sz w:val="24"/>
        </w:rPr>
      </w:pPr>
      <w:r>
        <w:rPr>
          <w:rFonts w:ascii="宋体" w:hAnsi="宋体"/>
          <w:sz w:val="24"/>
        </w:rPr>
        <w:t>本节对火焰类型、T-SQT-AT高度、氢气流量、载气流量、捕集期等系统参数进行了系统优化，以降低检出限。所有参数都通过单变量优化进行评估，并根据三次重复测量的最高平均值确定最优值。我们在之前的工作中对PVG方法的实验条件进行了优化，并在整个研究中使用了最优条件。虽然确定镉的最佳紫外照射周期为9.0min，但对于单次分析来说太长了，并且会对样品通量产生负面影响，因此</w:t>
      </w:r>
      <w:r>
        <w:rPr>
          <w:rFonts w:ascii="宋体" w:hAnsi="宋体" w:hint="eastAsia"/>
          <w:sz w:val="24"/>
        </w:rPr>
        <w:t>，</w:t>
      </w:r>
      <w:r>
        <w:rPr>
          <w:rFonts w:ascii="宋体" w:hAnsi="宋体"/>
          <w:sz w:val="24"/>
        </w:rPr>
        <w:t>因此，我们选择4.0min作为最佳值。火焰的组成对原子在T-SQT内表面的有效吸附很重要，因为原子的吸附与火焰的温度成反比。因此，火焰的组成分别为低燃料火焰（8.0L/h）、化学计量火焰（12.0L/h）和富燃料火焰（16L/h），</w:t>
      </w:r>
      <w:r>
        <w:rPr>
          <w:rFonts w:ascii="宋体" w:hAnsi="宋体"/>
          <w:sz w:val="24"/>
        </w:rPr>
        <w:lastRenderedPageBreak/>
        <w:t>并对乙炔流速进行了研究，以获得最佳火焰组成。不出所料，贫焰的吸光度值最高;因此，确定其为最佳火焰类型。用化学计量学和燃料进行的实验没有观察到吸光度信号丰富的火焰</w:t>
      </w:r>
      <w:r>
        <w:rPr>
          <w:rFonts w:ascii="宋体" w:hAnsi="宋体" w:hint="eastAsia"/>
          <w:sz w:val="24"/>
        </w:rPr>
        <w:t>。</w:t>
      </w:r>
      <w:r>
        <w:rPr>
          <w:rFonts w:ascii="宋体" w:hAnsi="宋体"/>
          <w:sz w:val="24"/>
        </w:rPr>
        <w:t>原子化过程后的分析物原子被捕获到T-SQT的内表面上，使分析物原子在光路中集中。T-SQT与燃烧器头之间的距离会影响T-SQT系统中火焰的运动和数量。因此，T-SQT的高度在0.0mm和2.0mm范围内测试燃烧器头部的值。由于这种优化，在0.0mm处获得了最高信号，其标准偏差也低于其他高度值。利用氢气释放石英管内表面的镉。因此，优化吸附原子旋转的氢气流速，可以控制信号形状，从而获得更窄和对称的信号。在优化过程中，氢气流速在7.8mL/min</w:t>
      </w:r>
      <w:r w:rsidR="009161B6">
        <w:rPr>
          <w:rFonts w:ascii="宋体" w:hAnsi="宋体" w:hint="eastAsia"/>
          <w:sz w:val="24"/>
        </w:rPr>
        <w:t>～</w:t>
      </w:r>
      <w:r>
        <w:rPr>
          <w:rFonts w:ascii="宋体" w:hAnsi="宋体"/>
          <w:sz w:val="24"/>
        </w:rPr>
        <w:t>730.5mL/min之间变化，选择的最优值为430mL/min，产生最高的信噪比。在GLS中从液体基质中分离出来的分析物通过氩气转移到T-SQT中，因为氩气也用于雾化液体样品。随着流速的增加，挥发性物质的分离和转移可以更有效地实现，尽管在某一点之后可能会出现分析物过度稀释的风险。因此，载气的流速被优化为10mL/min</w:t>
      </w:r>
      <w:r w:rsidR="009161B6">
        <w:rPr>
          <w:rFonts w:ascii="宋体" w:hAnsi="宋体" w:hint="eastAsia"/>
          <w:sz w:val="24"/>
        </w:rPr>
        <w:t>～</w:t>
      </w:r>
      <w:r>
        <w:rPr>
          <w:rFonts w:ascii="宋体" w:hAnsi="宋体"/>
          <w:sz w:val="24"/>
        </w:rPr>
        <w:t>870mL/min，以获得最大的捕集器效率。没有尝试高于870mL/min的氩气流速，因为有漏失液体进入雾化器管路的风险。在870mL/min流速下记录了最大吸光度，因此选择870mL/min为最佳氩气流量信号的高度与捕获的分析物原子数成正比，因此</w:t>
      </w:r>
      <w:r>
        <w:rPr>
          <w:rFonts w:ascii="宋体" w:hAnsi="宋体" w:hint="eastAsia"/>
          <w:sz w:val="24"/>
        </w:rPr>
        <w:t>，</w:t>
      </w:r>
      <w:r>
        <w:rPr>
          <w:rFonts w:ascii="宋体" w:hAnsi="宋体"/>
          <w:sz w:val="24"/>
        </w:rPr>
        <w:t>俘获周期是原子阱性能的决定性变量。在优化过程中，标准溶液以1.0min</w:t>
      </w:r>
      <w:r w:rsidR="009161B6">
        <w:rPr>
          <w:rFonts w:ascii="宋体" w:hAnsi="宋体" w:hint="eastAsia"/>
          <w:sz w:val="24"/>
        </w:rPr>
        <w:t>～</w:t>
      </w:r>
      <w:r>
        <w:rPr>
          <w:rFonts w:ascii="宋体" w:hAnsi="宋体"/>
          <w:sz w:val="24"/>
        </w:rPr>
        <w:t>6.0min的周期以1.0min的间隔发送到PVG-T-SQT-AT-FAAS系统，以获得最大信噪比。因此，选择6.0min的捕获周期作为最优值。此外，在样品吞吐量方面，没有测试比6.0min更长的捕获周期。</w:t>
      </w:r>
    </w:p>
    <w:p w14:paraId="39B32B3E" w14:textId="77777777" w:rsidR="00FB52B4" w:rsidRDefault="00000000">
      <w:pPr>
        <w:spacing w:line="360" w:lineRule="auto"/>
        <w:rPr>
          <w:rFonts w:ascii="宋体" w:hAnsi="宋体"/>
          <w:sz w:val="24"/>
        </w:rPr>
      </w:pPr>
      <w:r>
        <w:rPr>
          <w:rFonts w:ascii="宋体" w:hAnsi="宋体"/>
          <w:sz w:val="24"/>
        </w:rPr>
        <w:t>价值分析数据</w:t>
      </w:r>
    </w:p>
    <w:p w14:paraId="298ECAA2" w14:textId="77777777" w:rsidR="00FB52B4" w:rsidRDefault="00000000">
      <w:pPr>
        <w:spacing w:line="360" w:lineRule="auto"/>
        <w:ind w:firstLineChars="200" w:firstLine="480"/>
        <w:rPr>
          <w:rFonts w:ascii="宋体" w:hAnsi="宋体"/>
          <w:sz w:val="24"/>
        </w:rPr>
      </w:pPr>
      <w:r>
        <w:rPr>
          <w:rFonts w:ascii="宋体" w:hAnsi="宋体"/>
          <w:sz w:val="24"/>
        </w:rPr>
        <w:t>将10.0µg/L至500µg/L的镉标准溶液送入PVG-T-SQT-AT-FAAS系统，以便在表1所示的最佳实验条件下评估系统性能。每次测量后，用去离子水对所提出的系统进行清洗程序30s。将空白样品送入系统，控制因记忆效应引起的分析物信号</w:t>
      </w:r>
      <w:r>
        <w:rPr>
          <w:rFonts w:ascii="宋体" w:hAnsi="宋体" w:hint="eastAsia"/>
          <w:sz w:val="24"/>
        </w:rPr>
        <w:t>，</w:t>
      </w:r>
      <w:r>
        <w:rPr>
          <w:rFonts w:ascii="宋体" w:hAnsi="宋体"/>
          <w:sz w:val="24"/>
        </w:rPr>
        <w:t>未观察到信号。除FAAS系统的分析性能外</w:t>
      </w:r>
      <w:r>
        <w:rPr>
          <w:rFonts w:ascii="宋体" w:hAnsi="宋体" w:hint="eastAsia"/>
          <w:sz w:val="24"/>
        </w:rPr>
        <w:t>，</w:t>
      </w:r>
      <w:r>
        <w:rPr>
          <w:rFonts w:ascii="宋体" w:hAnsi="宋体"/>
          <w:sz w:val="24"/>
        </w:rPr>
        <w:t>PVG-T-SQT-A-FAAS 系统的LOD、LOQ、动态范围、EDR和决定系数。两种系统的LOD和LOQ值通过将</w:t>
      </w:r>
      <w:proofErr w:type="spellStart"/>
      <w:r>
        <w:rPr>
          <w:rFonts w:ascii="宋体" w:hAnsi="宋体"/>
          <w:sz w:val="24"/>
        </w:rPr>
        <w:t>sLC</w:t>
      </w:r>
      <w:proofErr w:type="spellEnd"/>
      <w:r>
        <w:rPr>
          <w:rFonts w:ascii="宋体" w:hAnsi="宋体"/>
          <w:sz w:val="24"/>
        </w:rPr>
        <w:t>(样品中最低浓度的标准偏差)乘以3和10来计算</w:t>
      </w:r>
      <w:r>
        <w:rPr>
          <w:rFonts w:ascii="宋体" w:hAnsi="宋体" w:hint="eastAsia"/>
          <w:sz w:val="24"/>
        </w:rPr>
        <w:t>。</w:t>
      </w:r>
    </w:p>
    <w:p w14:paraId="66006BE9" w14:textId="77777777" w:rsidR="00FB52B4" w:rsidRDefault="00000000">
      <w:pPr>
        <w:spacing w:line="360" w:lineRule="auto"/>
        <w:rPr>
          <w:rFonts w:ascii="宋体" w:hAnsi="宋体"/>
          <w:sz w:val="24"/>
        </w:rPr>
      </w:pPr>
      <w:r>
        <w:rPr>
          <w:rFonts w:ascii="宋体" w:hAnsi="宋体" w:hint="eastAsia"/>
          <w:sz w:val="24"/>
        </w:rPr>
        <w:t>结论</w:t>
      </w:r>
    </w:p>
    <w:p w14:paraId="3938B94A" w14:textId="2356FA9B" w:rsidR="00FB52B4" w:rsidRDefault="00000000">
      <w:pPr>
        <w:spacing w:line="360" w:lineRule="auto"/>
        <w:ind w:firstLineChars="200" w:firstLine="480"/>
        <w:rPr>
          <w:rFonts w:ascii="宋体" w:hAnsi="宋体"/>
          <w:sz w:val="24"/>
        </w:rPr>
      </w:pPr>
      <w:r>
        <w:rPr>
          <w:rFonts w:ascii="宋体" w:hAnsi="宋体"/>
          <w:sz w:val="24"/>
        </w:rPr>
        <w:t>建立了一种廉价、精确、准确的PVG-T-SQT-AT-FAAS分析方法，用于测定自来水和达芙妮茶样品中的镉。该系统是基于在FAAS系统中测量之前PVG和T-</w:t>
      </w:r>
      <w:r>
        <w:rPr>
          <w:rFonts w:ascii="宋体" w:hAnsi="宋体"/>
          <w:sz w:val="24"/>
        </w:rPr>
        <w:lastRenderedPageBreak/>
        <w:t>SQT-AT系统的结合。在最佳实验条件下，将传统FAAS系统的标定图斜率与开发的方法进行比较，灵敏度提高了106倍。该方法的LOD和LOQ分别为2.5和8.2µg/L。将所提出的方法应用于环境(自来水)和食品(达芙妮茶)样品以检验其适用性，高回收率验证了该方法对两者的适用性</w:t>
      </w:r>
      <w:r>
        <w:rPr>
          <w:rFonts w:ascii="宋体" w:hAnsi="宋体" w:hint="eastAsia"/>
          <w:sz w:val="24"/>
        </w:rPr>
        <w:t>。</w:t>
      </w:r>
    </w:p>
    <w:p w14:paraId="50291816" w14:textId="20BFF11D" w:rsidR="009161B6" w:rsidRDefault="009161B6">
      <w:pPr>
        <w:widowControl/>
        <w:jc w:val="left"/>
        <w:rPr>
          <w:rFonts w:ascii="宋体" w:hAnsi="宋体"/>
          <w:sz w:val="24"/>
        </w:rPr>
      </w:pPr>
      <w:r>
        <w:rPr>
          <w:rFonts w:ascii="宋体" w:hAnsi="宋体"/>
          <w:sz w:val="24"/>
        </w:rPr>
        <w:br w:type="page"/>
      </w:r>
    </w:p>
    <w:p w14:paraId="3656AF58" w14:textId="27477001" w:rsidR="009161B6" w:rsidRDefault="009161B6" w:rsidP="009161B6">
      <w:pPr>
        <w:rPr>
          <w:rFonts w:ascii="仿宋_GB2312" w:eastAsia="仿宋_GB2312" w:hAnsi="宋体"/>
          <w:sz w:val="24"/>
        </w:rPr>
      </w:pPr>
      <w:r>
        <w:rPr>
          <w:rFonts w:ascii="仿宋_GB2312" w:eastAsia="仿宋_GB2312" w:hAnsi="宋体" w:hint="eastAsia"/>
          <w:b/>
          <w:bCs/>
          <w:sz w:val="32"/>
        </w:rPr>
        <w:lastRenderedPageBreak/>
        <w:t>附件</w:t>
      </w:r>
      <w:r>
        <w:rPr>
          <w:rFonts w:ascii="仿宋_GB2312" w:eastAsia="仿宋_GB2312" w:hAnsi="宋体"/>
          <w:b/>
          <w:bCs/>
          <w:sz w:val="32"/>
        </w:rPr>
        <w:t>2</w:t>
      </w:r>
      <w:r>
        <w:rPr>
          <w:rFonts w:ascii="仿宋_GB2312" w:eastAsia="仿宋_GB2312" w:hAnsi="宋体" w:hint="eastAsia"/>
          <w:b/>
          <w:bCs/>
          <w:sz w:val="32"/>
        </w:rPr>
        <w:t>：外文原文</w:t>
      </w:r>
    </w:p>
    <w:p w14:paraId="7E91B195" w14:textId="77777777" w:rsidR="00FB52B4" w:rsidRPr="009161B6" w:rsidRDefault="00FB52B4">
      <w:pPr>
        <w:spacing w:line="360" w:lineRule="auto"/>
        <w:ind w:firstLineChars="200" w:firstLine="480"/>
        <w:rPr>
          <w:rFonts w:ascii="宋体" w:hAnsi="宋体"/>
          <w:sz w:val="24"/>
        </w:rPr>
      </w:pPr>
    </w:p>
    <w:sectPr w:rsidR="00FB52B4" w:rsidRPr="009161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altName w:val="微软雅黑"/>
    <w:charset w:val="00"/>
    <w:family w:val="auto"/>
    <w:pitch w:val="default"/>
    <w:sig w:usb0="00000000" w:usb1="00000000" w:usb2="00000000" w:usb3="00000000" w:csb0="00040000" w:csb1="00000000"/>
  </w:font>
  <w:font w:name="楷体_GB2312">
    <w:altName w:val="微软雅黑"/>
    <w:charset w:val="00"/>
    <w:family w:val="modern"/>
    <w:pitch w:val="default"/>
    <w:sig w:usb0="00000000" w:usb1="00000000" w:usb2="00000000" w:usb3="00000000" w:csb0="00040000" w:csb1="00000000"/>
  </w:font>
  <w:font w:name="隶书">
    <w:altName w:val="报隶-简"/>
    <w:panose1 w:val="02010509060101010101"/>
    <w:charset w:val="86"/>
    <w:family w:val="modern"/>
    <w:pitch w:val="fixed"/>
    <w:sig w:usb0="00000001" w:usb1="080E0000" w:usb2="00000010" w:usb3="00000000" w:csb0="00040000" w:csb1="00000000"/>
  </w:font>
  <w:font w:name="楷体">
    <w:altName w:val="汉仪楷体KW"/>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PingFang SC">
    <w:altName w:val="微软雅黑"/>
    <w:charset w:val="86"/>
    <w:family w:val="auto"/>
    <w:pitch w:val="default"/>
    <w:sig w:usb0="00000000" w:usb1="00000000" w:usb2="00000000" w:usb3="00000000" w:csb0="0016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RkMWJmYmYxZmVkYTlhNmExNWY5NmM3ZWUzNzQ2NGMifQ=="/>
  </w:docVars>
  <w:rsids>
    <w:rsidRoot w:val="658B1B85"/>
    <w:rsid w:val="658B1B85"/>
    <w:rsid w:val="DF7B46DE"/>
    <w:rsid w:val="004101CD"/>
    <w:rsid w:val="00911237"/>
    <w:rsid w:val="009161B6"/>
    <w:rsid w:val="00C60EA5"/>
    <w:rsid w:val="00E263AC"/>
    <w:rsid w:val="00FB52B4"/>
    <w:rsid w:val="2CF44047"/>
    <w:rsid w:val="658B1B85"/>
    <w:rsid w:val="7F7FD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7D337E"/>
  <w15:docId w15:val="{6F3C82DC-EF45-40EF-8246-FA2D2943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jc w:val="center"/>
    </w:pPr>
    <w:rPr>
      <w:rFonts w:eastAsia="方正大标宋简体"/>
      <w:sz w:val="76"/>
    </w:rPr>
  </w:style>
  <w:style w:type="paragraph" w:styleId="a4">
    <w:name w:val="Date"/>
    <w:basedOn w:val="a"/>
    <w:next w:val="a"/>
    <w:qFormat/>
    <w:pPr>
      <w:ind w:leftChars="2500" w:left="100"/>
    </w:pPr>
    <w:rPr>
      <w:rFonts w:ascii="楷体_GB2312" w:eastAsia="楷体_GB2312"/>
      <w:b/>
      <w:bCs/>
      <w:color w:val="0000F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LoveZeroYeah</dc:creator>
  <cp:lastModifiedBy>胡 嘉浩</cp:lastModifiedBy>
  <cp:revision>6</cp:revision>
  <dcterms:created xsi:type="dcterms:W3CDTF">2023-05-28T07:27:00Z</dcterms:created>
  <dcterms:modified xsi:type="dcterms:W3CDTF">2023-06-12T04:42:00Z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390EF7F57A754489C4E363643CB9944F_43</vt:lpwstr>
  </property>
</Properties>
</file>